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2B1FF" w14:textId="49DD7FE2"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7267B1" w:rsidRPr="007267B1">
        <w:rPr>
          <w:rFonts w:asciiTheme="minorHAnsi" w:hAnsiTheme="minorHAnsi"/>
        </w:rPr>
        <w:t>ENG15</w:t>
      </w:r>
      <w:r w:rsidR="007267B1">
        <w:rPr>
          <w:rFonts w:asciiTheme="minorHAnsi" w:hAnsiTheme="minorHAnsi"/>
        </w:rPr>
        <w:t>-</w:t>
      </w:r>
      <w:r w:rsidR="007267B1" w:rsidRPr="007267B1">
        <w:rPr>
          <w:rFonts w:asciiTheme="minorHAnsi" w:hAnsiTheme="minorHAnsi"/>
        </w:rPr>
        <w:t>3.1.4.1</w:t>
      </w:r>
    </w:p>
    <w:p w14:paraId="3EDF5C89" w14:textId="77777777" w:rsidR="00BF32F0" w:rsidRPr="000E7E23" w:rsidRDefault="00BF32F0" w:rsidP="009E2C96">
      <w:pPr>
        <w:pStyle w:val="BodyText"/>
        <w:tabs>
          <w:tab w:val="left" w:pos="2835"/>
        </w:tabs>
        <w:rPr>
          <w:rFonts w:asciiTheme="minorHAnsi" w:hAnsiTheme="minorHAnsi"/>
        </w:rPr>
      </w:pPr>
    </w:p>
    <w:p w14:paraId="19EDD5DA"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5431DD1E" w14:textId="77777777" w:rsidR="0080294B" w:rsidRPr="000E7E23" w:rsidRDefault="0080294B" w:rsidP="009E2C96">
      <w:pPr>
        <w:pStyle w:val="BodyText"/>
        <w:tabs>
          <w:tab w:val="left" w:pos="1843"/>
        </w:tabs>
        <w:rPr>
          <w:rFonts w:asciiTheme="minorHAnsi" w:hAnsiTheme="minorHAnsi" w:cs="Arial"/>
          <w:b/>
          <w:sz w:val="24"/>
          <w:szCs w:val="24"/>
        </w:rPr>
      </w:pPr>
      <w:proofErr w:type="gramStart"/>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proofErr w:type="gramEnd"/>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17FCA855" w14:textId="77777777" w:rsidR="0080294B" w:rsidRPr="000E7E23" w:rsidRDefault="00A32E0E" w:rsidP="009E2C96">
      <w:pPr>
        <w:pStyle w:val="BodyText"/>
        <w:tabs>
          <w:tab w:val="left" w:pos="1843"/>
        </w:tabs>
        <w:rPr>
          <w:rFonts w:asciiTheme="minorHAnsi" w:hAnsiTheme="minorHAnsi"/>
        </w:rPr>
      </w:pPr>
      <w:proofErr w:type="gramStart"/>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proofErr w:type="gramEnd"/>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52D295F3" w14:textId="77777777" w:rsidR="0080294B" w:rsidRPr="000E7E23" w:rsidRDefault="0080294B" w:rsidP="009E2C96">
      <w:pPr>
        <w:pStyle w:val="BodyText"/>
        <w:tabs>
          <w:tab w:val="left" w:pos="2835"/>
        </w:tabs>
        <w:rPr>
          <w:rFonts w:asciiTheme="minorHAnsi" w:hAnsiTheme="minorHAnsi"/>
        </w:rPr>
      </w:pPr>
    </w:p>
    <w:p w14:paraId="73CF79A5" w14:textId="38917FCE"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r>
    </w:p>
    <w:p w14:paraId="70116D78" w14:textId="77777777"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67A17CD1" w14:textId="18D3AD02"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w:t>
      </w:r>
      <w:r w:rsidR="008900E5">
        <w:rPr>
          <w:rFonts w:asciiTheme="minorHAnsi" w:hAnsiTheme="minorHAnsi"/>
        </w:rPr>
        <w:t>4</w:t>
      </w:r>
      <w:r w:rsidR="00E11B8C" w:rsidRPr="000E7E23">
        <w:rPr>
          <w:rFonts w:asciiTheme="minorHAnsi" w:hAnsiTheme="minorHAnsi"/>
        </w:rPr>
        <w:t xml:space="preserve"> Chair &amp; Vice Chair</w:t>
      </w:r>
    </w:p>
    <w:p w14:paraId="393E513E" w14:textId="77777777" w:rsidR="00E11B8C" w:rsidRPr="0090240D" w:rsidRDefault="00E11B8C" w:rsidP="009E2C96">
      <w:pPr>
        <w:pStyle w:val="BodyText"/>
        <w:tabs>
          <w:tab w:val="left" w:pos="2835"/>
        </w:tabs>
        <w:rPr>
          <w:color w:val="548DD4" w:themeColor="text2" w:themeTint="99"/>
        </w:rPr>
      </w:pPr>
    </w:p>
    <w:p w14:paraId="26BF7FE8" w14:textId="2CAF6976" w:rsidR="00E11B8C" w:rsidRPr="0090240D" w:rsidRDefault="00EC5E7D" w:rsidP="009E2C96">
      <w:pPr>
        <w:pStyle w:val="Title"/>
        <w:rPr>
          <w:color w:val="548DD4" w:themeColor="text2" w:themeTint="99"/>
        </w:rPr>
      </w:pPr>
      <w:r w:rsidRPr="0090240D">
        <w:rPr>
          <w:color w:val="548DD4" w:themeColor="text2" w:themeTint="99"/>
        </w:rPr>
        <w:t>WG4 – Heritage Forum Proposals</w:t>
      </w:r>
    </w:p>
    <w:p w14:paraId="1B9AAC98" w14:textId="3B806205" w:rsidR="00E11B8C" w:rsidRPr="0090240D" w:rsidRDefault="00BB0855" w:rsidP="009E2C96">
      <w:pPr>
        <w:pStyle w:val="Title"/>
        <w:rPr>
          <w:color w:val="548DD4" w:themeColor="text2" w:themeTint="99"/>
        </w:rPr>
      </w:pPr>
      <w:r w:rsidRPr="0090240D">
        <w:rPr>
          <w:color w:val="548DD4" w:themeColor="text2" w:themeTint="99"/>
        </w:rPr>
        <w:t xml:space="preserve">Plan for </w:t>
      </w:r>
      <w:r w:rsidR="00193F0A" w:rsidRPr="0090240D">
        <w:rPr>
          <w:color w:val="548DD4" w:themeColor="text2" w:themeTint="99"/>
        </w:rPr>
        <w:t xml:space="preserve">WG work over the </w:t>
      </w:r>
      <w:r w:rsidRPr="0090240D">
        <w:rPr>
          <w:color w:val="548DD4" w:themeColor="text2" w:themeTint="99"/>
        </w:rPr>
        <w:t>EN</w:t>
      </w:r>
      <w:r w:rsidR="003278AC" w:rsidRPr="0090240D">
        <w:rPr>
          <w:color w:val="548DD4" w:themeColor="text2" w:themeTint="99"/>
        </w:rPr>
        <w:t>G1</w:t>
      </w:r>
      <w:r w:rsidR="00EB6E02">
        <w:rPr>
          <w:color w:val="548DD4" w:themeColor="text2" w:themeTint="99"/>
        </w:rPr>
        <w:t>5</w:t>
      </w:r>
      <w:r w:rsidR="00193F0A" w:rsidRPr="0090240D">
        <w:rPr>
          <w:color w:val="548DD4" w:themeColor="text2" w:themeTint="99"/>
        </w:rPr>
        <w:t xml:space="preserve"> period </w:t>
      </w:r>
    </w:p>
    <w:p w14:paraId="17DBF75F" w14:textId="77777777" w:rsidR="00A446C9" w:rsidRPr="0090240D" w:rsidRDefault="00A446C9" w:rsidP="006B0BAB">
      <w:pPr>
        <w:pStyle w:val="Heading1"/>
        <w:spacing w:afterLines="120" w:after="288"/>
        <w:rPr>
          <w:color w:val="548DD4" w:themeColor="text2" w:themeTint="99"/>
        </w:rPr>
      </w:pPr>
      <w:r w:rsidRPr="0090240D">
        <w:rPr>
          <w:color w:val="548DD4" w:themeColor="text2" w:themeTint="99"/>
        </w:rPr>
        <w:t>Summary</w:t>
      </w:r>
    </w:p>
    <w:p w14:paraId="6FE4D7B5" w14:textId="6B79A2B7" w:rsidR="0000243B" w:rsidRDefault="0000243B" w:rsidP="006B0BAB">
      <w:pPr>
        <w:pStyle w:val="BodyText"/>
        <w:spacing w:afterLines="120" w:after="288"/>
      </w:pPr>
      <w:r>
        <w:t xml:space="preserve">ENG WG4 – Heritage Forum considers its overall objective to </w:t>
      </w:r>
      <w:proofErr w:type="gramStart"/>
      <w:r>
        <w:t>be;</w:t>
      </w:r>
      <w:proofErr w:type="gramEnd"/>
    </w:p>
    <w:p w14:paraId="6CADBB2B" w14:textId="04AF30AC" w:rsidR="00E11B8C" w:rsidRDefault="0000243B" w:rsidP="006B0BAB">
      <w:pPr>
        <w:pStyle w:val="BodyText"/>
        <w:spacing w:afterLines="120" w:after="288"/>
      </w:pPr>
      <w:r>
        <w:t>“To further the declaration and recommendations contained within the Incheon Declaration and within IALA Recommendation R1005 – ‘Conserving the built heritage of lighthouses and other aids to navigation’.</w:t>
      </w:r>
    </w:p>
    <w:p w14:paraId="5FF261A5" w14:textId="77777777" w:rsidR="001C44A3" w:rsidRPr="0090240D" w:rsidRDefault="00BD4E6F" w:rsidP="006B0BAB">
      <w:pPr>
        <w:pStyle w:val="Heading2"/>
        <w:spacing w:afterLines="120" w:after="288"/>
        <w:rPr>
          <w:color w:val="548DD4" w:themeColor="text2" w:themeTint="99"/>
        </w:rPr>
      </w:pPr>
      <w:r w:rsidRPr="0090240D">
        <w:rPr>
          <w:color w:val="548DD4" w:themeColor="text2" w:themeTint="99"/>
        </w:rPr>
        <w:t>Purpose</w:t>
      </w:r>
      <w:r w:rsidR="004D1D85" w:rsidRPr="0090240D">
        <w:rPr>
          <w:color w:val="548DD4" w:themeColor="text2" w:themeTint="99"/>
        </w:rPr>
        <w:t xml:space="preserve"> of the document</w:t>
      </w:r>
    </w:p>
    <w:p w14:paraId="7098EF0C" w14:textId="21025EE9" w:rsidR="00E11B8C" w:rsidRDefault="00E11B8C" w:rsidP="006B0BAB">
      <w:pPr>
        <w:pStyle w:val="BodyText"/>
        <w:spacing w:afterLines="120" w:after="288"/>
      </w:pPr>
      <w:r w:rsidRPr="000A301F">
        <w:t xml:space="preserve">To enable Committee members to understand the aims and objectives of </w:t>
      </w:r>
      <w:r w:rsidR="00A32E0E">
        <w:t>WG</w:t>
      </w:r>
      <w:r w:rsidR="00DC00C2">
        <w:t>4</w:t>
      </w:r>
      <w:r w:rsidRPr="000A301F">
        <w:t xml:space="preserve"> for this </w:t>
      </w:r>
      <w:r w:rsidR="00193F0A">
        <w:t>period</w:t>
      </w:r>
      <w:r w:rsidRPr="000A301F">
        <w:t xml:space="preserve"> so they can plan their </w:t>
      </w:r>
      <w:r w:rsidR="00193F0A">
        <w:t>participation as appropriate.</w:t>
      </w:r>
    </w:p>
    <w:p w14:paraId="3617A615" w14:textId="5B57957D" w:rsidR="00B56BDF" w:rsidRPr="0090240D" w:rsidRDefault="00B56BDF" w:rsidP="006B0BAB">
      <w:pPr>
        <w:pStyle w:val="Heading2"/>
        <w:spacing w:afterLines="120" w:after="288"/>
        <w:rPr>
          <w:color w:val="548DD4" w:themeColor="text2" w:themeTint="99"/>
        </w:rPr>
      </w:pPr>
      <w:r w:rsidRPr="0090240D">
        <w:rPr>
          <w:color w:val="548DD4" w:themeColor="text2" w:themeTint="99"/>
        </w:rPr>
        <w:t>Related documents</w:t>
      </w:r>
    </w:p>
    <w:p w14:paraId="444B3DE2" w14:textId="77777777" w:rsidR="00E11B8C" w:rsidRPr="000A301F" w:rsidRDefault="00E11B8C" w:rsidP="006B0BAB">
      <w:pPr>
        <w:pStyle w:val="BodyText"/>
        <w:numPr>
          <w:ilvl w:val="0"/>
          <w:numId w:val="17"/>
        </w:numPr>
        <w:spacing w:afterLines="120" w:after="288"/>
      </w:pPr>
      <w:r w:rsidRPr="000A301F">
        <w:t xml:space="preserve">IALA strategy </w:t>
      </w:r>
    </w:p>
    <w:p w14:paraId="1591E12B" w14:textId="77777777" w:rsidR="00E11B8C" w:rsidRDefault="005C0F41" w:rsidP="006B0BAB">
      <w:pPr>
        <w:pStyle w:val="BodyText"/>
        <w:numPr>
          <w:ilvl w:val="0"/>
          <w:numId w:val="17"/>
        </w:numPr>
        <w:spacing w:afterLines="120" w:after="288"/>
      </w:pPr>
      <w:r>
        <w:t xml:space="preserve">ENG </w:t>
      </w:r>
      <w:r w:rsidR="00E11B8C">
        <w:t xml:space="preserve">Committee </w:t>
      </w:r>
      <w:r w:rsidR="00517ACA">
        <w:t>Task</w:t>
      </w:r>
      <w:r w:rsidR="00C106F7">
        <w:t xml:space="preserve"> Plan</w:t>
      </w:r>
    </w:p>
    <w:p w14:paraId="771529EF" w14:textId="2C571AD4" w:rsidR="00EB6E02" w:rsidRPr="000A301F" w:rsidRDefault="005C0F41" w:rsidP="00EB6E02">
      <w:pPr>
        <w:pStyle w:val="BodyText"/>
        <w:numPr>
          <w:ilvl w:val="0"/>
          <w:numId w:val="17"/>
        </w:numPr>
        <w:spacing w:afterLines="120" w:after="288"/>
      </w:pPr>
      <w:r>
        <w:t xml:space="preserve">ENG </w:t>
      </w:r>
      <w:r w:rsidR="00E11B8C">
        <w:t>Work Pro</w:t>
      </w:r>
      <w:r w:rsidR="00C106F7">
        <w:t>gramme task register</w:t>
      </w:r>
    </w:p>
    <w:p w14:paraId="4C1254C5" w14:textId="75AAEADF" w:rsidR="00E11B8C" w:rsidRPr="0090240D" w:rsidRDefault="00E11B8C" w:rsidP="006B0BAB">
      <w:pPr>
        <w:pStyle w:val="Heading1"/>
        <w:spacing w:afterLines="120" w:after="288"/>
        <w:rPr>
          <w:color w:val="548DD4" w:themeColor="text2" w:themeTint="99"/>
        </w:rPr>
      </w:pPr>
      <w:r w:rsidRPr="0090240D">
        <w:rPr>
          <w:color w:val="548DD4" w:themeColor="text2" w:themeTint="99"/>
        </w:rPr>
        <w:t>Work items</w:t>
      </w:r>
    </w:p>
    <w:p w14:paraId="7364B566" w14:textId="1E5A29FA" w:rsidR="00125E3C" w:rsidRPr="00125E3C" w:rsidRDefault="00125E3C" w:rsidP="00EB6E02">
      <w:pPr>
        <w:spacing w:afterLines="120" w:after="288"/>
        <w:jc w:val="both"/>
        <w:rPr>
          <w:rFonts w:ascii="Calibri" w:hAnsi="Calibri"/>
          <w:lang w:eastAsia="de-DE"/>
        </w:rPr>
      </w:pPr>
      <w:r w:rsidRPr="00125E3C">
        <w:rPr>
          <w:rFonts w:ascii="Calibri" w:hAnsi="Calibri"/>
          <w:lang w:eastAsia="de-DE"/>
        </w:rPr>
        <w:t>It is envisaged that an initial meeting of all interested participants in WG4 will b</w:t>
      </w:r>
      <w:r w:rsidR="009919BB">
        <w:rPr>
          <w:rFonts w:ascii="Calibri" w:hAnsi="Calibri"/>
          <w:lang w:eastAsia="de-DE"/>
        </w:rPr>
        <w:t>e held at the beginning of ENG1</w:t>
      </w:r>
      <w:r w:rsidR="00C0399B">
        <w:rPr>
          <w:rFonts w:ascii="Calibri" w:hAnsi="Calibri"/>
          <w:lang w:eastAsia="de-DE"/>
        </w:rPr>
        <w:t>5</w:t>
      </w:r>
      <w:r w:rsidRPr="00125E3C">
        <w:rPr>
          <w:rFonts w:ascii="Calibri" w:hAnsi="Calibri"/>
          <w:lang w:eastAsia="de-DE"/>
        </w:rPr>
        <w:t xml:space="preserve"> to update on matters considered at previous meetings and to determine what tasks are to be undertaken over the course of ENG1</w:t>
      </w:r>
      <w:r w:rsidR="00C0399B">
        <w:rPr>
          <w:rFonts w:ascii="Calibri" w:hAnsi="Calibri"/>
          <w:lang w:eastAsia="de-DE"/>
        </w:rPr>
        <w:t>5</w:t>
      </w:r>
      <w:r w:rsidRPr="00125E3C">
        <w:rPr>
          <w:rFonts w:ascii="Calibri" w:hAnsi="Calibri"/>
          <w:lang w:eastAsia="de-DE"/>
        </w:rPr>
        <w:t xml:space="preserve"> and which participant/s will progress those tasks. </w:t>
      </w:r>
      <w:r w:rsidR="00EB6E02">
        <w:rPr>
          <w:rFonts w:ascii="Calibri" w:hAnsi="Calibri"/>
          <w:lang w:eastAsia="de-DE"/>
        </w:rPr>
        <w:t>A Judging Panel will also be established for IALA Heritage Lighthouse of the Year 2022, that panel convening at a second meeting of WG4 at ENG15.</w:t>
      </w:r>
    </w:p>
    <w:p w14:paraId="2E484835" w14:textId="7578B39B" w:rsidR="00A46D45" w:rsidRDefault="00A46D45" w:rsidP="00EB6E02">
      <w:pPr>
        <w:pStyle w:val="BodyText"/>
        <w:spacing w:afterLines="120" w:after="288"/>
        <w:rPr>
          <w:lang w:eastAsia="de-DE"/>
        </w:rPr>
      </w:pPr>
      <w:r>
        <w:rPr>
          <w:lang w:eastAsia="de-DE"/>
        </w:rPr>
        <w:t xml:space="preserve">It is not envisioned that there will be task groups formed. </w:t>
      </w:r>
    </w:p>
    <w:p w14:paraId="50D16F29" w14:textId="77777777" w:rsidR="00EB6E02" w:rsidRDefault="00EB6E02" w:rsidP="006B0BAB">
      <w:pPr>
        <w:pStyle w:val="BodyText"/>
        <w:spacing w:afterLines="120" w:after="288"/>
        <w:rPr>
          <w:rFonts w:asciiTheme="minorHAnsi" w:hAnsiTheme="minorHAnsi" w:cstheme="minorHAnsi"/>
          <w:lang w:eastAsia="de-DE"/>
        </w:rPr>
      </w:pPr>
    </w:p>
    <w:p w14:paraId="2606D858" w14:textId="4AE06107" w:rsidR="00A46D45" w:rsidRPr="00C0399B" w:rsidRDefault="00A46D45" w:rsidP="006B0BAB">
      <w:pPr>
        <w:pStyle w:val="BodyText"/>
        <w:spacing w:afterLines="120" w:after="288"/>
        <w:rPr>
          <w:rFonts w:asciiTheme="minorHAnsi" w:hAnsiTheme="minorHAnsi" w:cstheme="minorHAnsi"/>
          <w:lang w:eastAsia="de-DE"/>
        </w:rPr>
      </w:pPr>
      <w:r w:rsidRPr="00C0399B">
        <w:rPr>
          <w:rFonts w:asciiTheme="minorHAnsi" w:hAnsiTheme="minorHAnsi" w:cstheme="minorHAnsi"/>
          <w:lang w:eastAsia="de-DE"/>
        </w:rPr>
        <w:t>Tasks</w:t>
      </w:r>
      <w:r w:rsidR="00125E3C" w:rsidRPr="00C0399B">
        <w:rPr>
          <w:rFonts w:asciiTheme="minorHAnsi" w:hAnsiTheme="minorHAnsi" w:cstheme="minorHAnsi"/>
          <w:lang w:eastAsia="de-DE"/>
        </w:rPr>
        <w:t xml:space="preserve"> / matters</w:t>
      </w:r>
      <w:r w:rsidRPr="00C0399B">
        <w:rPr>
          <w:rFonts w:asciiTheme="minorHAnsi" w:hAnsiTheme="minorHAnsi" w:cstheme="minorHAnsi"/>
          <w:lang w:eastAsia="de-DE"/>
        </w:rPr>
        <w:t xml:space="preserve"> </w:t>
      </w:r>
      <w:r w:rsidR="00125E3C" w:rsidRPr="00C0399B">
        <w:rPr>
          <w:rFonts w:asciiTheme="minorHAnsi" w:hAnsiTheme="minorHAnsi" w:cstheme="minorHAnsi"/>
          <w:lang w:eastAsia="de-DE"/>
        </w:rPr>
        <w:t xml:space="preserve">for consideration </w:t>
      </w:r>
      <w:r w:rsidRPr="00C0399B">
        <w:rPr>
          <w:rFonts w:asciiTheme="minorHAnsi" w:hAnsiTheme="minorHAnsi" w:cstheme="minorHAnsi"/>
          <w:lang w:eastAsia="de-DE"/>
        </w:rPr>
        <w:t xml:space="preserve">are likely to </w:t>
      </w:r>
      <w:proofErr w:type="gramStart"/>
      <w:r w:rsidRPr="00C0399B">
        <w:rPr>
          <w:rFonts w:asciiTheme="minorHAnsi" w:hAnsiTheme="minorHAnsi" w:cstheme="minorHAnsi"/>
          <w:lang w:eastAsia="de-DE"/>
        </w:rPr>
        <w:t>include;</w:t>
      </w:r>
      <w:proofErr w:type="gramEnd"/>
    </w:p>
    <w:p w14:paraId="7971F613" w14:textId="0084D25B" w:rsidR="00C0399B" w:rsidRDefault="00C0399B" w:rsidP="00C0399B">
      <w:pPr>
        <w:pStyle w:val="BodyText"/>
      </w:pPr>
      <w:r>
        <w:t>2.1</w:t>
      </w:r>
      <w:r>
        <w:tab/>
      </w:r>
      <w:r w:rsidRPr="003073E7">
        <w:rPr>
          <w:u w:val="single"/>
        </w:rPr>
        <w:t>Determine</w:t>
      </w:r>
      <w:r w:rsidR="00EB6E02">
        <w:rPr>
          <w:u w:val="single"/>
        </w:rPr>
        <w:t xml:space="preserve"> a</w:t>
      </w:r>
      <w:r w:rsidRPr="003073E7">
        <w:rPr>
          <w:u w:val="single"/>
        </w:rPr>
        <w:t xml:space="preserve"> Commendation for IALA Heritage Lighthouse of the Year 2022</w:t>
      </w:r>
      <w:r w:rsidR="00E150D7">
        <w:rPr>
          <w:u w:val="single"/>
        </w:rPr>
        <w:t xml:space="preserve"> </w:t>
      </w:r>
      <w:r w:rsidR="00E150D7" w:rsidRPr="003610D8">
        <w:rPr>
          <w:rFonts w:asciiTheme="minorHAnsi" w:hAnsiTheme="minorHAnsi" w:cstheme="minorHAnsi"/>
          <w:color w:val="000000" w:themeColor="text1"/>
        </w:rPr>
        <w:t>(Task 2.6.4)</w:t>
      </w:r>
    </w:p>
    <w:p w14:paraId="44D696C9" w14:textId="188CC799" w:rsidR="00C0399B" w:rsidRDefault="00C0399B" w:rsidP="00C0399B">
      <w:pPr>
        <w:pStyle w:val="BodyText"/>
        <w:ind w:left="720"/>
      </w:pPr>
      <w:r>
        <w:t>This will be the primary task of WG4 through ENG15.</w:t>
      </w:r>
    </w:p>
    <w:p w14:paraId="052BDCFF" w14:textId="03033D6E" w:rsidR="00C0399B" w:rsidRPr="00C0399B" w:rsidRDefault="00C0399B" w:rsidP="00C0399B">
      <w:pPr>
        <w:pStyle w:val="BodyText"/>
        <w:ind w:left="720"/>
      </w:pPr>
      <w:r>
        <w:t>IALA Heritage Lighthouse of the Year 2022 will be selected from all valid nominations received prior to 28</w:t>
      </w:r>
      <w:r w:rsidRPr="00C0399B">
        <w:rPr>
          <w:vertAlign w:val="superscript"/>
        </w:rPr>
        <w:t>th</w:t>
      </w:r>
      <w:r>
        <w:t xml:space="preserve"> February 2022 – including those submitted in previous years. A Judging Panel will be formed at the first WG4 meeting of ENG15</w:t>
      </w:r>
      <w:r w:rsidR="00EB6E02">
        <w:t>,</w:t>
      </w:r>
      <w:r>
        <w:t xml:space="preserve"> with any WG4 participant welcome to be involved. Having made their individual assessments of all nominations, the judging panel will convene at the second meeting of WG4 during ENG15 to reach consensus on its commendation.</w:t>
      </w:r>
      <w:r>
        <w:tab/>
      </w:r>
      <w:r>
        <w:tab/>
      </w:r>
    </w:p>
    <w:p w14:paraId="6F424C26" w14:textId="7E70DB1A" w:rsidR="00C0399B" w:rsidRPr="003073E7" w:rsidRDefault="00C0399B" w:rsidP="00EB6E02">
      <w:pPr>
        <w:pStyle w:val="BodyText"/>
        <w:rPr>
          <w:u w:val="single"/>
        </w:rPr>
      </w:pPr>
      <w:r>
        <w:t>2.2</w:t>
      </w:r>
      <w:r>
        <w:tab/>
      </w:r>
      <w:r w:rsidR="003073E7" w:rsidRPr="003073E7">
        <w:rPr>
          <w:u w:val="single"/>
        </w:rPr>
        <w:t>Review timing of IALA Heritage Lighthouse of the Year for future awards</w:t>
      </w:r>
      <w:r w:rsidR="00E150D7">
        <w:rPr>
          <w:u w:val="single"/>
        </w:rPr>
        <w:t xml:space="preserve"> </w:t>
      </w:r>
      <w:r w:rsidR="00E150D7" w:rsidRPr="003610D8">
        <w:rPr>
          <w:rFonts w:asciiTheme="minorHAnsi" w:hAnsiTheme="minorHAnsi" w:cstheme="minorHAnsi"/>
          <w:color w:val="000000" w:themeColor="text1"/>
        </w:rPr>
        <w:t>(Task 2.6.4)</w:t>
      </w:r>
    </w:p>
    <w:p w14:paraId="14B24EDB" w14:textId="00073A47" w:rsidR="003073E7" w:rsidRDefault="003073E7" w:rsidP="00EB6E02">
      <w:pPr>
        <w:pStyle w:val="BodyText"/>
        <w:ind w:left="720"/>
      </w:pPr>
      <w:r>
        <w:t>The present systems of commendation by WG4 through ENG Committee each Spring and subsequent formal selection (by IALA Council) in July means that half the year is gone before a nation may celebrate the accolade of IALA Heritage Lighthouse of the Year.</w:t>
      </w:r>
    </w:p>
    <w:p w14:paraId="5E18A0D7" w14:textId="5F3DEB9D" w:rsidR="003073E7" w:rsidRPr="003073E7" w:rsidRDefault="003073E7" w:rsidP="00EB6E02">
      <w:pPr>
        <w:ind w:left="720"/>
        <w:jc w:val="both"/>
        <w:rPr>
          <w:rFonts w:asciiTheme="minorHAnsi" w:hAnsiTheme="minorHAnsi" w:cstheme="minorHAnsi"/>
          <w:lang w:val="en-US"/>
        </w:rPr>
      </w:pPr>
      <w:r>
        <w:rPr>
          <w:rFonts w:asciiTheme="minorHAnsi" w:hAnsiTheme="minorHAnsi" w:cstheme="minorHAnsi"/>
          <w:lang w:val="en-US"/>
        </w:rPr>
        <w:t xml:space="preserve">The alternative option will be discussed whereby the </w:t>
      </w:r>
      <w:r w:rsidRPr="003073E7">
        <w:rPr>
          <w:rFonts w:asciiTheme="minorHAnsi" w:hAnsiTheme="minorHAnsi" w:cstheme="minorHAnsi"/>
          <w:lang w:val="en-US"/>
        </w:rPr>
        <w:t xml:space="preserve">deadline for 2023 nominations </w:t>
      </w:r>
      <w:r>
        <w:rPr>
          <w:rFonts w:asciiTheme="minorHAnsi" w:hAnsiTheme="minorHAnsi" w:cstheme="minorHAnsi"/>
          <w:lang w:val="en-US"/>
        </w:rPr>
        <w:t>could be set in</w:t>
      </w:r>
      <w:r w:rsidRPr="003073E7">
        <w:rPr>
          <w:rFonts w:asciiTheme="minorHAnsi" w:hAnsiTheme="minorHAnsi" w:cstheme="minorHAnsi"/>
          <w:lang w:val="en-US"/>
        </w:rPr>
        <w:t xml:space="preserve"> the autumn, prior to ENG16 </w:t>
      </w:r>
      <w:r>
        <w:rPr>
          <w:rFonts w:asciiTheme="minorHAnsi" w:hAnsiTheme="minorHAnsi" w:cstheme="minorHAnsi"/>
          <w:lang w:val="en-US"/>
        </w:rPr>
        <w:t xml:space="preserve">where the commendation would be made. </w:t>
      </w:r>
      <w:r w:rsidRPr="003073E7">
        <w:rPr>
          <w:rFonts w:asciiTheme="minorHAnsi" w:hAnsiTheme="minorHAnsi" w:cstheme="minorHAnsi"/>
          <w:lang w:val="en-US"/>
        </w:rPr>
        <w:t xml:space="preserve">Council </w:t>
      </w:r>
      <w:r>
        <w:rPr>
          <w:rFonts w:asciiTheme="minorHAnsi" w:hAnsiTheme="minorHAnsi" w:cstheme="minorHAnsi"/>
          <w:lang w:val="en-US"/>
        </w:rPr>
        <w:t xml:space="preserve">could then consider this commendation </w:t>
      </w:r>
      <w:r w:rsidRPr="003073E7">
        <w:rPr>
          <w:rFonts w:asciiTheme="minorHAnsi" w:hAnsiTheme="minorHAnsi" w:cstheme="minorHAnsi"/>
          <w:lang w:val="en-US"/>
        </w:rPr>
        <w:t>in December 2022.</w:t>
      </w:r>
      <w:r>
        <w:rPr>
          <w:rFonts w:asciiTheme="minorHAnsi" w:hAnsiTheme="minorHAnsi" w:cstheme="minorHAnsi"/>
          <w:lang w:val="en-US"/>
        </w:rPr>
        <w:t xml:space="preserve"> This would provide the accolade holder with a full year in which to celebrate and give</w:t>
      </w:r>
      <w:r w:rsidRPr="003073E7">
        <w:rPr>
          <w:rFonts w:asciiTheme="minorHAnsi" w:hAnsiTheme="minorHAnsi" w:cstheme="minorHAnsi"/>
          <w:lang w:val="en-US"/>
        </w:rPr>
        <w:t xml:space="preserve"> plenty of time to prepare for </w:t>
      </w:r>
      <w:r>
        <w:rPr>
          <w:rFonts w:asciiTheme="minorHAnsi" w:hAnsiTheme="minorHAnsi" w:cstheme="minorHAnsi"/>
          <w:lang w:val="en-US"/>
        </w:rPr>
        <w:t>IALA to celebrate</w:t>
      </w:r>
      <w:r w:rsidRPr="003073E7">
        <w:rPr>
          <w:rFonts w:asciiTheme="minorHAnsi" w:hAnsiTheme="minorHAnsi" w:cstheme="minorHAnsi"/>
          <w:lang w:val="en-US"/>
        </w:rPr>
        <w:t xml:space="preserve"> on World AtoN Da</w:t>
      </w:r>
      <w:r>
        <w:rPr>
          <w:rFonts w:asciiTheme="minorHAnsi" w:hAnsiTheme="minorHAnsi" w:cstheme="minorHAnsi"/>
          <w:lang w:val="en-US"/>
        </w:rPr>
        <w:t>y in the middle of the year.</w:t>
      </w:r>
    </w:p>
    <w:p w14:paraId="305373AF" w14:textId="77777777" w:rsidR="003073E7" w:rsidRDefault="003073E7" w:rsidP="003073E7">
      <w:pPr>
        <w:pStyle w:val="BodyText"/>
        <w:ind w:left="720"/>
      </w:pPr>
    </w:p>
    <w:p w14:paraId="23E57100" w14:textId="2B2D5F02" w:rsidR="00C0399B" w:rsidRPr="00E150D7" w:rsidRDefault="003073E7" w:rsidP="00E150D7">
      <w:pPr>
        <w:pStyle w:val="BodyText"/>
        <w:ind w:left="720" w:hanging="720"/>
        <w:rPr>
          <w:u w:val="single"/>
        </w:rPr>
      </w:pPr>
      <w:r>
        <w:t>2.3</w:t>
      </w:r>
      <w:r>
        <w:tab/>
      </w:r>
      <w:r w:rsidRPr="00E150D7">
        <w:rPr>
          <w:u w:val="single"/>
        </w:rPr>
        <w:t xml:space="preserve">Review the </w:t>
      </w:r>
      <w:r w:rsidR="00E150D7" w:rsidRPr="00E150D7">
        <w:rPr>
          <w:u w:val="single"/>
        </w:rPr>
        <w:t xml:space="preserve">administration of the IALA Heritage Lighthouse of the Year Award </w:t>
      </w:r>
      <w:r w:rsidR="00E150D7" w:rsidRPr="003610D8">
        <w:rPr>
          <w:rFonts w:asciiTheme="minorHAnsi" w:hAnsiTheme="minorHAnsi" w:cstheme="minorHAnsi"/>
          <w:color w:val="000000" w:themeColor="text1"/>
        </w:rPr>
        <w:t>(Task 2.6.4</w:t>
      </w:r>
      <w:proofErr w:type="gramStart"/>
      <w:r w:rsidR="00E150D7" w:rsidRPr="003610D8">
        <w:rPr>
          <w:rFonts w:asciiTheme="minorHAnsi" w:hAnsiTheme="minorHAnsi" w:cstheme="minorHAnsi"/>
          <w:color w:val="000000" w:themeColor="text1"/>
        </w:rPr>
        <w:t>)</w:t>
      </w:r>
      <w:r w:rsidR="00E150D7" w:rsidRPr="00E150D7">
        <w:rPr>
          <w:u w:val="single"/>
        </w:rPr>
        <w:t>;</w:t>
      </w:r>
      <w:proofErr w:type="gramEnd"/>
    </w:p>
    <w:p w14:paraId="359EBAAF" w14:textId="3046A916" w:rsidR="00EB6E02" w:rsidRDefault="00E150D7" w:rsidP="00C0399B">
      <w:pPr>
        <w:pStyle w:val="BodyText"/>
      </w:pPr>
      <w:r>
        <w:tab/>
      </w:r>
      <w:r w:rsidR="00EB6E02">
        <w:t>To include (where required)</w:t>
      </w:r>
    </w:p>
    <w:p w14:paraId="348BE6C2" w14:textId="6BA84A37" w:rsidR="00E150D7" w:rsidRDefault="00E150D7" w:rsidP="00EB6E02">
      <w:pPr>
        <w:pStyle w:val="BodyText"/>
        <w:ind w:firstLine="720"/>
      </w:pPr>
      <w:r>
        <w:t>- Publicity</w:t>
      </w:r>
    </w:p>
    <w:p w14:paraId="3234147F" w14:textId="0A214686" w:rsidR="00EB6E02" w:rsidRDefault="00EB6E02" w:rsidP="00EB6E02">
      <w:pPr>
        <w:pStyle w:val="BodyText"/>
        <w:ind w:firstLine="720"/>
      </w:pPr>
      <w:r>
        <w:t>- Communication with Nominees</w:t>
      </w:r>
    </w:p>
    <w:p w14:paraId="3CC111E9" w14:textId="59C36D19" w:rsidR="00E150D7" w:rsidRDefault="00E150D7" w:rsidP="00C0399B">
      <w:pPr>
        <w:pStyle w:val="BodyText"/>
      </w:pPr>
      <w:r>
        <w:tab/>
        <w:t>- Selection mechanism</w:t>
      </w:r>
    </w:p>
    <w:p w14:paraId="393D30E0" w14:textId="1F42AD25" w:rsidR="00E150D7" w:rsidRDefault="00E150D7" w:rsidP="00C0399B">
      <w:pPr>
        <w:pStyle w:val="BodyText"/>
      </w:pPr>
      <w:r>
        <w:tab/>
        <w:t>- Award / artwork</w:t>
      </w:r>
    </w:p>
    <w:p w14:paraId="28E8061A" w14:textId="65DC3E4D" w:rsidR="00E150D7" w:rsidRDefault="00E150D7" w:rsidP="00C0399B">
      <w:pPr>
        <w:pStyle w:val="BodyText"/>
      </w:pPr>
      <w:r>
        <w:tab/>
        <w:t>- Presentation</w:t>
      </w:r>
    </w:p>
    <w:p w14:paraId="6D8522F0" w14:textId="184B4C9C" w:rsidR="003610D8" w:rsidRDefault="003610D8" w:rsidP="006B0BAB">
      <w:pPr>
        <w:spacing w:afterLines="120" w:after="288"/>
        <w:jc w:val="both"/>
        <w:rPr>
          <w:rFonts w:asciiTheme="minorHAnsi" w:hAnsiTheme="minorHAnsi" w:cstheme="minorHAnsi"/>
          <w:color w:val="000000" w:themeColor="text1"/>
        </w:rPr>
      </w:pPr>
      <w:r>
        <w:rPr>
          <w:rFonts w:asciiTheme="minorHAnsi" w:hAnsiTheme="minorHAnsi" w:cstheme="minorHAnsi"/>
          <w:color w:val="000000" w:themeColor="text1"/>
        </w:rPr>
        <w:t>2</w:t>
      </w:r>
      <w:r w:rsidRPr="003610D8">
        <w:rPr>
          <w:rFonts w:asciiTheme="minorHAnsi" w:hAnsiTheme="minorHAnsi" w:cstheme="minorHAnsi"/>
          <w:color w:val="000000" w:themeColor="text1"/>
        </w:rPr>
        <w:t>.4</w:t>
      </w:r>
      <w:r w:rsidRPr="003610D8">
        <w:rPr>
          <w:rFonts w:asciiTheme="minorHAnsi" w:hAnsiTheme="minorHAnsi" w:cstheme="minorHAnsi"/>
          <w:color w:val="000000" w:themeColor="text1"/>
        </w:rPr>
        <w:tab/>
      </w:r>
      <w:r w:rsidRPr="00C14F45">
        <w:rPr>
          <w:rFonts w:asciiTheme="minorHAnsi" w:hAnsiTheme="minorHAnsi" w:cstheme="minorHAnsi"/>
          <w:color w:val="000000" w:themeColor="text1"/>
          <w:u w:val="single"/>
        </w:rPr>
        <w:t>IALA Heritage Webpage update (Task 2.6.3)</w:t>
      </w:r>
    </w:p>
    <w:p w14:paraId="3B8D53AF" w14:textId="4F02711B" w:rsidR="009919BB" w:rsidRDefault="00C14F45" w:rsidP="00C14F45">
      <w:pPr>
        <w:spacing w:afterLines="120" w:after="288"/>
        <w:ind w:left="720"/>
        <w:jc w:val="both"/>
        <w:rPr>
          <w:rFonts w:asciiTheme="minorHAnsi" w:hAnsiTheme="minorHAnsi" w:cstheme="minorHAnsi"/>
          <w:color w:val="000000" w:themeColor="text1"/>
        </w:rPr>
      </w:pPr>
      <w:r>
        <w:rPr>
          <w:rFonts w:asciiTheme="minorHAnsi" w:hAnsiTheme="minorHAnsi" w:cstheme="minorHAnsi"/>
          <w:color w:val="000000" w:themeColor="text1"/>
        </w:rPr>
        <w:t>All ENG15 participants are encouraged to familiarise themselves with IALA’s Heritage webpages which contain a variety of useful information as well as a colourful exposition of the enormous variety and value that exist around the world</w:t>
      </w:r>
      <w:r w:rsidR="00EB6E02">
        <w:rPr>
          <w:rFonts w:asciiTheme="minorHAnsi" w:hAnsiTheme="minorHAnsi" w:cstheme="minorHAnsi"/>
          <w:color w:val="000000" w:themeColor="text1"/>
        </w:rPr>
        <w:t xml:space="preserve"> and the immense value that </w:t>
      </w:r>
      <w:proofErr w:type="gramStart"/>
      <w:r w:rsidR="00EB6E02">
        <w:rPr>
          <w:rFonts w:asciiTheme="minorHAnsi" w:hAnsiTheme="minorHAnsi" w:cstheme="minorHAnsi"/>
          <w:color w:val="000000" w:themeColor="text1"/>
        </w:rPr>
        <w:t>these lighthouse</w:t>
      </w:r>
      <w:proofErr w:type="gramEnd"/>
      <w:r>
        <w:rPr>
          <w:rFonts w:asciiTheme="minorHAnsi" w:hAnsiTheme="minorHAnsi" w:cstheme="minorHAnsi"/>
          <w:color w:val="000000" w:themeColor="text1"/>
        </w:rPr>
        <w:t xml:space="preserve"> have to culture and to our shared heritage</w:t>
      </w:r>
    </w:p>
    <w:p w14:paraId="7C2BF026" w14:textId="2ED815D4" w:rsidR="00C14F45" w:rsidRPr="00C14F45" w:rsidRDefault="001B0966" w:rsidP="00C14F45">
      <w:pPr>
        <w:ind w:firstLine="720"/>
        <w:rPr>
          <w:rFonts w:asciiTheme="minorHAnsi" w:hAnsiTheme="minorHAnsi" w:cstheme="minorHAnsi"/>
          <w:i/>
          <w:iCs/>
          <w:color w:val="000000" w:themeColor="text1"/>
        </w:rPr>
      </w:pPr>
      <w:hyperlink r:id="rId11" w:history="1">
        <w:r w:rsidR="00C14F45" w:rsidRPr="00C14F45">
          <w:rPr>
            <w:rStyle w:val="Hyperlink"/>
            <w:rFonts w:asciiTheme="minorHAnsi" w:hAnsiTheme="minorHAnsi" w:cstheme="minorHAnsi"/>
            <w:i/>
            <w:iCs/>
            <w:color w:val="1F4E79"/>
          </w:rPr>
          <w:t>https://heritage.iala-aism.org/</w:t>
        </w:r>
      </w:hyperlink>
      <w:r w:rsidR="00C14F45">
        <w:rPr>
          <w:rFonts w:asciiTheme="minorHAnsi" w:hAnsiTheme="minorHAnsi" w:cstheme="minorHAnsi"/>
          <w:i/>
          <w:iCs/>
          <w:color w:val="1F4E79"/>
        </w:rPr>
        <w:t xml:space="preserve"> </w:t>
      </w:r>
      <w:r w:rsidR="00C14F45" w:rsidRPr="00C14F45">
        <w:rPr>
          <w:rFonts w:asciiTheme="minorHAnsi" w:hAnsiTheme="minorHAnsi" w:cstheme="minorHAnsi"/>
          <w:i/>
          <w:iCs/>
          <w:color w:val="1F4E79"/>
        </w:rPr>
        <w:t xml:space="preserve"> </w:t>
      </w:r>
      <w:r w:rsidR="00C14F45" w:rsidRPr="00C14F45">
        <w:rPr>
          <w:rFonts w:asciiTheme="minorHAnsi" w:hAnsiTheme="minorHAnsi" w:cstheme="minorHAnsi"/>
          <w:color w:val="000000" w:themeColor="text1"/>
        </w:rPr>
        <w:t xml:space="preserve">with its various </w:t>
      </w:r>
      <w:proofErr w:type="gramStart"/>
      <w:r w:rsidR="00C14F45" w:rsidRPr="00C14F45">
        <w:rPr>
          <w:rFonts w:asciiTheme="minorHAnsi" w:hAnsiTheme="minorHAnsi" w:cstheme="minorHAnsi"/>
          <w:color w:val="000000" w:themeColor="text1"/>
        </w:rPr>
        <w:t>sub-pages;</w:t>
      </w:r>
      <w:proofErr w:type="gramEnd"/>
    </w:p>
    <w:p w14:paraId="3CA8D678" w14:textId="6CD1D9F9" w:rsidR="00C14F45" w:rsidRPr="00C14F45" w:rsidRDefault="001B0966" w:rsidP="00C14F45">
      <w:pPr>
        <w:ind w:firstLine="720"/>
        <w:rPr>
          <w:rFonts w:asciiTheme="minorHAnsi" w:hAnsiTheme="minorHAnsi" w:cstheme="minorHAnsi"/>
          <w:i/>
          <w:iCs/>
          <w:color w:val="1F4E79"/>
        </w:rPr>
      </w:pPr>
      <w:hyperlink r:id="rId12" w:history="1">
        <w:r w:rsidR="00C14F45" w:rsidRPr="00C14F45">
          <w:rPr>
            <w:rStyle w:val="Hyperlink"/>
            <w:rFonts w:asciiTheme="minorHAnsi" w:hAnsiTheme="minorHAnsi" w:cstheme="minorHAnsi"/>
            <w:i/>
            <w:iCs/>
            <w:color w:val="1F4E79"/>
          </w:rPr>
          <w:t>https://heritage.iala-aism.org/heritage-lighthouse-of-the-year/</w:t>
        </w:r>
      </w:hyperlink>
      <w:r w:rsidR="00C14F45" w:rsidRPr="00C14F45">
        <w:rPr>
          <w:rFonts w:asciiTheme="minorHAnsi" w:hAnsiTheme="minorHAnsi" w:cstheme="minorHAnsi"/>
          <w:i/>
          <w:iCs/>
          <w:color w:val="1F4E79"/>
        </w:rPr>
        <w:t xml:space="preserve"> </w:t>
      </w:r>
    </w:p>
    <w:p w14:paraId="34388C64" w14:textId="1E03C347" w:rsidR="00C14F45" w:rsidRPr="00C14F45" w:rsidRDefault="001B0966" w:rsidP="00C14F45">
      <w:pPr>
        <w:ind w:firstLine="720"/>
        <w:rPr>
          <w:rFonts w:asciiTheme="minorHAnsi" w:hAnsiTheme="minorHAnsi" w:cstheme="minorHAnsi"/>
          <w:i/>
          <w:iCs/>
          <w:color w:val="1F4E79"/>
        </w:rPr>
      </w:pPr>
      <w:hyperlink r:id="rId13" w:history="1">
        <w:r w:rsidR="00C14F45" w:rsidRPr="00C14F45">
          <w:rPr>
            <w:rStyle w:val="Hyperlink"/>
            <w:rFonts w:asciiTheme="minorHAnsi" w:hAnsiTheme="minorHAnsi" w:cstheme="minorHAnsi"/>
            <w:i/>
            <w:iCs/>
            <w:color w:val="1F4E79"/>
          </w:rPr>
          <w:t>https://heritage.iala-aism.org/nominate-a-lighthouse/</w:t>
        </w:r>
      </w:hyperlink>
      <w:r w:rsidR="00C14F45">
        <w:rPr>
          <w:rFonts w:asciiTheme="minorHAnsi" w:hAnsiTheme="minorHAnsi" w:cstheme="minorHAnsi"/>
          <w:i/>
          <w:iCs/>
          <w:color w:val="1F4E79"/>
        </w:rPr>
        <w:t xml:space="preserve"> </w:t>
      </w:r>
      <w:r w:rsidR="00C14F45" w:rsidRPr="00C14F45">
        <w:rPr>
          <w:rFonts w:asciiTheme="minorHAnsi" w:hAnsiTheme="minorHAnsi" w:cstheme="minorHAnsi"/>
          <w:i/>
          <w:iCs/>
          <w:color w:val="1F4E79"/>
        </w:rPr>
        <w:t xml:space="preserve"> </w:t>
      </w:r>
    </w:p>
    <w:p w14:paraId="786EA726" w14:textId="77777777" w:rsidR="00C14F45" w:rsidRPr="00C14F45" w:rsidRDefault="001B0966" w:rsidP="00C14F45">
      <w:pPr>
        <w:ind w:firstLine="720"/>
        <w:rPr>
          <w:rFonts w:asciiTheme="minorHAnsi" w:hAnsiTheme="minorHAnsi" w:cstheme="minorHAnsi"/>
          <w:i/>
          <w:iCs/>
          <w:color w:val="1F4E79"/>
        </w:rPr>
      </w:pPr>
      <w:hyperlink r:id="rId14" w:history="1">
        <w:r w:rsidR="00C14F45" w:rsidRPr="00C14F45">
          <w:rPr>
            <w:rStyle w:val="Hyperlink"/>
            <w:rFonts w:asciiTheme="minorHAnsi" w:hAnsiTheme="minorHAnsi" w:cstheme="minorHAnsi"/>
            <w:i/>
            <w:iCs/>
            <w:color w:val="1F4E79"/>
          </w:rPr>
          <w:t>https://heritage.iala-aism.org/lighthouses/</w:t>
        </w:r>
      </w:hyperlink>
      <w:r w:rsidR="00C14F45" w:rsidRPr="00C14F45">
        <w:rPr>
          <w:rFonts w:asciiTheme="minorHAnsi" w:hAnsiTheme="minorHAnsi" w:cstheme="minorHAnsi"/>
          <w:i/>
          <w:iCs/>
          <w:color w:val="1F4E79"/>
        </w:rPr>
        <w:t xml:space="preserve"> </w:t>
      </w:r>
      <w:r w:rsidR="00C14F45" w:rsidRPr="00C14F45">
        <w:rPr>
          <w:rFonts w:asciiTheme="minorHAnsi" w:hAnsiTheme="minorHAnsi" w:cstheme="minorHAnsi"/>
          <w:i/>
          <w:iCs/>
          <w:color w:val="000000" w:themeColor="text1"/>
        </w:rPr>
        <w:t>(</w:t>
      </w:r>
      <w:r w:rsidR="00C14F45" w:rsidRPr="00C14F45">
        <w:rPr>
          <w:rFonts w:asciiTheme="minorHAnsi" w:hAnsiTheme="minorHAnsi" w:cstheme="minorHAnsi"/>
          <w:color w:val="000000" w:themeColor="text1"/>
        </w:rPr>
        <w:t>for the heritage lighthouse database)</w:t>
      </w:r>
    </w:p>
    <w:p w14:paraId="480F604E" w14:textId="7FFE5429" w:rsidR="00C14F45" w:rsidRPr="00C14F45" w:rsidRDefault="001B0966" w:rsidP="00C14F45">
      <w:pPr>
        <w:ind w:firstLine="720"/>
        <w:rPr>
          <w:rFonts w:asciiTheme="minorHAnsi" w:hAnsiTheme="minorHAnsi" w:cstheme="minorHAnsi"/>
          <w:i/>
          <w:iCs/>
          <w:color w:val="1F4E79"/>
        </w:rPr>
      </w:pPr>
      <w:hyperlink r:id="rId15" w:history="1">
        <w:r w:rsidR="00C14F45" w:rsidRPr="00C14F45">
          <w:rPr>
            <w:rStyle w:val="Hyperlink"/>
            <w:rFonts w:asciiTheme="minorHAnsi" w:hAnsiTheme="minorHAnsi" w:cstheme="minorHAnsi"/>
            <w:i/>
            <w:iCs/>
            <w:color w:val="1F4E79"/>
          </w:rPr>
          <w:t>https://heritage.iala-aism.org/iala-heritage-forum/</w:t>
        </w:r>
      </w:hyperlink>
      <w:r w:rsidR="00C14F45">
        <w:rPr>
          <w:rFonts w:asciiTheme="minorHAnsi" w:hAnsiTheme="minorHAnsi" w:cstheme="minorHAnsi"/>
          <w:i/>
          <w:iCs/>
          <w:color w:val="1F4E79"/>
        </w:rPr>
        <w:t xml:space="preserve"> </w:t>
      </w:r>
    </w:p>
    <w:p w14:paraId="10EE61C9" w14:textId="7FF8B7C9" w:rsidR="00C14F45" w:rsidRPr="00C14F45" w:rsidRDefault="001B0966" w:rsidP="00C14F45">
      <w:pPr>
        <w:ind w:firstLine="720"/>
        <w:rPr>
          <w:rFonts w:asciiTheme="minorHAnsi" w:hAnsiTheme="minorHAnsi" w:cstheme="minorHAnsi"/>
          <w:i/>
          <w:iCs/>
          <w:color w:val="1F4E79"/>
        </w:rPr>
      </w:pPr>
      <w:hyperlink r:id="rId16" w:history="1">
        <w:r w:rsidR="00C14F45" w:rsidRPr="00C14F45">
          <w:rPr>
            <w:rStyle w:val="Hyperlink"/>
            <w:rFonts w:asciiTheme="minorHAnsi" w:hAnsiTheme="minorHAnsi" w:cstheme="minorHAnsi"/>
            <w:i/>
            <w:iCs/>
            <w:color w:val="1F4E79"/>
          </w:rPr>
          <w:t>https://heritage.iala-aism.org/heritage-documents/</w:t>
        </w:r>
      </w:hyperlink>
      <w:r w:rsidR="00C14F45">
        <w:rPr>
          <w:rFonts w:asciiTheme="minorHAnsi" w:hAnsiTheme="minorHAnsi" w:cstheme="minorHAnsi"/>
          <w:i/>
          <w:iCs/>
          <w:color w:val="1F4E79"/>
        </w:rPr>
        <w:t xml:space="preserve"> </w:t>
      </w:r>
    </w:p>
    <w:p w14:paraId="1794A311" w14:textId="77777777" w:rsidR="00EB6E02" w:rsidRDefault="00EB6E02" w:rsidP="00C14F45">
      <w:pPr>
        <w:spacing w:afterLines="120" w:after="288"/>
        <w:ind w:left="720"/>
        <w:jc w:val="both"/>
        <w:rPr>
          <w:rFonts w:asciiTheme="minorHAnsi" w:hAnsiTheme="minorHAnsi" w:cstheme="minorHAnsi"/>
          <w:color w:val="000000" w:themeColor="text1"/>
        </w:rPr>
      </w:pPr>
    </w:p>
    <w:p w14:paraId="76BCCE99" w14:textId="5BB2967D" w:rsidR="00C14F45" w:rsidRDefault="00C14F45" w:rsidP="00C14F45">
      <w:pPr>
        <w:spacing w:afterLines="120" w:after="288"/>
        <w:ind w:left="720"/>
        <w:jc w:val="both"/>
        <w:rPr>
          <w:rFonts w:asciiTheme="minorHAnsi" w:hAnsiTheme="minorHAnsi" w:cstheme="minorHAnsi"/>
          <w:color w:val="000000" w:themeColor="text1"/>
        </w:rPr>
      </w:pPr>
      <w:r>
        <w:rPr>
          <w:rFonts w:asciiTheme="minorHAnsi" w:hAnsiTheme="minorHAnsi" w:cstheme="minorHAnsi"/>
          <w:color w:val="000000" w:themeColor="text1"/>
        </w:rPr>
        <w:t xml:space="preserve">The updating of these webpages by the ENG WG4 Editorial Team will be considered during ENG15. </w:t>
      </w:r>
    </w:p>
    <w:p w14:paraId="6D441532" w14:textId="77777777" w:rsidR="00EB6E02" w:rsidRDefault="00EB6E02" w:rsidP="00C14F45">
      <w:pPr>
        <w:spacing w:afterLines="120" w:after="288"/>
        <w:ind w:left="720"/>
        <w:jc w:val="both"/>
        <w:rPr>
          <w:rFonts w:asciiTheme="minorHAnsi" w:hAnsiTheme="minorHAnsi" w:cstheme="minorHAnsi"/>
          <w:color w:val="000000" w:themeColor="text1"/>
        </w:rPr>
      </w:pPr>
    </w:p>
    <w:p w14:paraId="72351CE9" w14:textId="77777777" w:rsidR="00C14F45" w:rsidRPr="00C0399B" w:rsidRDefault="00C14F45" w:rsidP="00C14F45">
      <w:pPr>
        <w:pStyle w:val="BodyText"/>
      </w:pPr>
      <w:r>
        <w:lastRenderedPageBreak/>
        <w:t>2.4</w:t>
      </w:r>
      <w:r>
        <w:tab/>
      </w:r>
      <w:r w:rsidRPr="00E150D7">
        <w:rPr>
          <w:u w:val="single"/>
        </w:rPr>
        <w:t>Heritage Seminar update</w:t>
      </w:r>
    </w:p>
    <w:p w14:paraId="7AA31712" w14:textId="724D1FF9" w:rsidR="00C14F45" w:rsidRDefault="00C14F45" w:rsidP="00C14F45">
      <w:pPr>
        <w:spacing w:afterLines="120" w:after="288"/>
        <w:ind w:left="720"/>
        <w:jc w:val="both"/>
        <w:rPr>
          <w:rFonts w:asciiTheme="minorHAnsi" w:hAnsiTheme="minorHAnsi" w:cstheme="minorHAnsi"/>
          <w:color w:val="000000" w:themeColor="text1"/>
        </w:rPr>
      </w:pPr>
      <w:r>
        <w:rPr>
          <w:rFonts w:asciiTheme="minorHAnsi" w:hAnsiTheme="minorHAnsi" w:cstheme="minorHAnsi"/>
          <w:color w:val="000000" w:themeColor="text1"/>
        </w:rPr>
        <w:t>WG4 will consider progress and viability with respect to a potential online Heritage Seminar to be hosted by Brazil</w:t>
      </w:r>
    </w:p>
    <w:p w14:paraId="13D09576" w14:textId="2EC2A2D3" w:rsidR="00C14F45" w:rsidRDefault="00C14F45" w:rsidP="00C14F45">
      <w:pPr>
        <w:spacing w:afterLines="120" w:after="288"/>
        <w:jc w:val="both"/>
        <w:rPr>
          <w:rFonts w:asciiTheme="minorHAnsi" w:hAnsiTheme="minorHAnsi" w:cstheme="minorHAnsi"/>
          <w:color w:val="000000" w:themeColor="text1"/>
        </w:rPr>
      </w:pPr>
      <w:r>
        <w:rPr>
          <w:rFonts w:asciiTheme="minorHAnsi" w:hAnsiTheme="minorHAnsi" w:cstheme="minorHAnsi"/>
          <w:color w:val="000000" w:themeColor="text1"/>
        </w:rPr>
        <w:t>2.5</w:t>
      </w:r>
      <w:r>
        <w:rPr>
          <w:rFonts w:asciiTheme="minorHAnsi" w:hAnsiTheme="minorHAnsi" w:cstheme="minorHAnsi"/>
          <w:color w:val="000000" w:themeColor="text1"/>
        </w:rPr>
        <w:tab/>
      </w:r>
      <w:r w:rsidRPr="00C14F45">
        <w:rPr>
          <w:rFonts w:asciiTheme="minorHAnsi" w:hAnsiTheme="minorHAnsi" w:cstheme="minorHAnsi"/>
          <w:color w:val="000000" w:themeColor="text1"/>
          <w:u w:val="single"/>
        </w:rPr>
        <w:t>Consider any presentations on Lighthouse Heritage and Culture</w:t>
      </w:r>
    </w:p>
    <w:p w14:paraId="19C59E5B" w14:textId="77777777" w:rsidR="00EB6E02" w:rsidRDefault="00C14F45" w:rsidP="00EB6E02">
      <w:pPr>
        <w:pStyle w:val="BodyText"/>
        <w:ind w:left="720"/>
        <w:rPr>
          <w:lang w:eastAsia="de-DE"/>
        </w:rPr>
      </w:pPr>
      <w:r>
        <w:rPr>
          <w:lang w:eastAsia="de-DE"/>
        </w:rPr>
        <w:t>If you would like to make a presentation on any aspect of lighthouse heritage or culture relating to your member organisation’s work, WG</w:t>
      </w:r>
      <w:r w:rsidR="00EB6E02">
        <w:rPr>
          <w:lang w:eastAsia="de-DE"/>
        </w:rPr>
        <w:t>4 would be delighted to receive such a presentation.</w:t>
      </w:r>
    </w:p>
    <w:p w14:paraId="0AA279B7" w14:textId="228D175A" w:rsidR="006A7B4E" w:rsidRDefault="00EB6E02" w:rsidP="00EB6E02">
      <w:pPr>
        <w:pStyle w:val="BodyText"/>
        <w:ind w:left="720"/>
        <w:rPr>
          <w:lang w:eastAsia="de-DE"/>
        </w:rPr>
      </w:pPr>
      <w:r>
        <w:rPr>
          <w:lang w:eastAsia="de-DE"/>
        </w:rPr>
        <w:tab/>
      </w:r>
    </w:p>
    <w:p w14:paraId="16242A63" w14:textId="77777777" w:rsidR="00E11B8C" w:rsidRPr="0090240D" w:rsidRDefault="00E11B8C" w:rsidP="009E2C96">
      <w:pPr>
        <w:pStyle w:val="Heading1"/>
        <w:rPr>
          <w:color w:val="548DD4" w:themeColor="text2" w:themeTint="99"/>
        </w:rPr>
      </w:pPr>
      <w:r w:rsidRPr="0090240D">
        <w:rPr>
          <w:color w:val="548DD4" w:themeColor="text2" w:themeTint="99"/>
        </w:rPr>
        <w:t>Action requested of the Committee</w:t>
      </w:r>
    </w:p>
    <w:p w14:paraId="047AE7B1" w14:textId="5552C2A5" w:rsidR="00E11B8C" w:rsidRDefault="00E11B8C" w:rsidP="009E2C96">
      <w:pPr>
        <w:pStyle w:val="BodyText"/>
      </w:pPr>
      <w:r>
        <w:t>The Committee is requested to:</w:t>
      </w:r>
    </w:p>
    <w:p w14:paraId="7A172EF7" w14:textId="72A82F03" w:rsidR="00E11B8C" w:rsidRDefault="00E11B8C" w:rsidP="00C57FFA">
      <w:pPr>
        <w:pStyle w:val="List1"/>
        <w:numPr>
          <w:ilvl w:val="0"/>
          <w:numId w:val="18"/>
        </w:numPr>
      </w:pPr>
      <w:r>
        <w:t xml:space="preserve">Take note of the intended work of </w:t>
      </w:r>
      <w:r w:rsidR="00533792">
        <w:t>the WG</w:t>
      </w:r>
      <w:r w:rsidR="009E2C96">
        <w:t xml:space="preserve"> and </w:t>
      </w:r>
      <w:proofErr w:type="gramStart"/>
      <w:r w:rsidR="00D25E20">
        <w:t>make contact with</w:t>
      </w:r>
      <w:proofErr w:type="gramEnd"/>
      <w:r w:rsidR="00D25E20">
        <w:t xml:space="preserve"> </w:t>
      </w:r>
      <w:r w:rsidR="00CD5666">
        <w:t>the WG Chair</w:t>
      </w:r>
      <w:r w:rsidR="0050250E">
        <w:t>/V</w:t>
      </w:r>
      <w:r w:rsidR="00CD5666">
        <w:t>ice Chair</w:t>
      </w:r>
      <w:r w:rsidR="00D25E20">
        <w:t xml:space="preserve"> </w:t>
      </w:r>
      <w:r w:rsidR="00CD5666">
        <w:t xml:space="preserve">if </w:t>
      </w:r>
      <w:r w:rsidR="00D25E20">
        <w:t>you would like to support</w:t>
      </w:r>
      <w:r w:rsidR="00C14F45">
        <w:t xml:space="preserve"> or get involved</w:t>
      </w:r>
      <w:r w:rsidR="00D25E20">
        <w:t>.</w:t>
      </w:r>
    </w:p>
    <w:p w14:paraId="6671A660" w14:textId="77777777" w:rsidR="00E11B8C" w:rsidRDefault="00E11B8C" w:rsidP="00C57FFA">
      <w:pPr>
        <w:pStyle w:val="List1"/>
        <w:numPr>
          <w:ilvl w:val="0"/>
          <w:numId w:val="18"/>
        </w:numPr>
      </w:pPr>
      <w:r>
        <w:t xml:space="preserve">Please let the Chair/Vice Chair know of any other items </w:t>
      </w:r>
      <w:r w:rsidR="00D25E20">
        <w:t>you</w:t>
      </w:r>
      <w:r w:rsidR="009E2C96">
        <w:t xml:space="preserve"> would </w:t>
      </w:r>
      <w:r w:rsidR="00D25E20">
        <w:t>like to discuss.</w:t>
      </w:r>
    </w:p>
    <w:sectPr w:rsidR="00E11B8C" w:rsidSect="0082480E">
      <w:headerReference w:type="default" r:id="rId17"/>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8DAB3" w14:textId="77777777" w:rsidR="001B0966" w:rsidRDefault="001B0966" w:rsidP="00362CD9">
      <w:r>
        <w:separator/>
      </w:r>
    </w:p>
  </w:endnote>
  <w:endnote w:type="continuationSeparator" w:id="0">
    <w:p w14:paraId="2A12D536" w14:textId="77777777" w:rsidR="001B0966" w:rsidRDefault="001B096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50EA" w14:textId="72A17356" w:rsidR="00362CD9" w:rsidRDefault="00362CD9">
    <w:pPr>
      <w:pStyle w:val="Footer"/>
    </w:pPr>
    <w:r>
      <w:tab/>
    </w:r>
    <w:r>
      <w:fldChar w:fldCharType="begin"/>
    </w:r>
    <w:r>
      <w:instrText xml:space="preserve"> PAGE   \* MERGEFORMAT </w:instrText>
    </w:r>
    <w:r>
      <w:fldChar w:fldCharType="separate"/>
    </w:r>
    <w:r w:rsidR="00EB6E02">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45A0F" w14:textId="77777777" w:rsidR="001B0966" w:rsidRDefault="001B0966" w:rsidP="00362CD9">
      <w:r>
        <w:separator/>
      </w:r>
    </w:p>
  </w:footnote>
  <w:footnote w:type="continuationSeparator" w:id="0">
    <w:p w14:paraId="04FF57B9" w14:textId="77777777" w:rsidR="001B0966" w:rsidRDefault="001B0966" w:rsidP="00362CD9">
      <w:r>
        <w:continuationSeparator/>
      </w:r>
    </w:p>
  </w:footnote>
  <w:footnote w:id="1">
    <w:p w14:paraId="07536265"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4F26C59"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C6CE"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29149C4"/>
    <w:multiLevelType w:val="hybridMultilevel"/>
    <w:tmpl w:val="35C67586"/>
    <w:lvl w:ilvl="0" w:tplc="FAC057E4">
      <w:start w:val="1"/>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11"/>
  </w:num>
  <w:num w:numId="3">
    <w:abstractNumId w:val="2"/>
  </w:num>
  <w:num w:numId="4">
    <w:abstractNumId w:val="18"/>
  </w:num>
  <w:num w:numId="5">
    <w:abstractNumId w:val="7"/>
  </w:num>
  <w:num w:numId="6">
    <w:abstractNumId w:val="6"/>
  </w:num>
  <w:num w:numId="7">
    <w:abstractNumId w:val="13"/>
  </w:num>
  <w:num w:numId="8">
    <w:abstractNumId w:val="12"/>
  </w:num>
  <w:num w:numId="9">
    <w:abstractNumId w:val="17"/>
  </w:num>
  <w:num w:numId="10">
    <w:abstractNumId w:val="4"/>
  </w:num>
  <w:num w:numId="11">
    <w:abstractNumId w:val="5"/>
  </w:num>
  <w:num w:numId="12">
    <w:abstractNumId w:val="14"/>
  </w:num>
  <w:num w:numId="13">
    <w:abstractNumId w:val="9"/>
  </w:num>
  <w:num w:numId="14">
    <w:abstractNumId w:val="8"/>
  </w:num>
  <w:num w:numId="15">
    <w:abstractNumId w:val="10"/>
  </w:num>
  <w:num w:numId="16">
    <w:abstractNumId w:val="0"/>
  </w:num>
  <w:num w:numId="17">
    <w:abstractNumId w:val="1"/>
  </w:num>
  <w:num w:numId="18">
    <w:abstractNumId w:val="3"/>
  </w:num>
  <w:num w:numId="19">
    <w:abstractNumId w:val="15"/>
  </w:num>
  <w:num w:numId="20">
    <w:abstractNumId w:val="4"/>
    <w:lvlOverride w:ilvl="0">
      <w:startOverride w:val="2"/>
    </w:lvlOverride>
    <w:lvlOverride w:ilvl="1">
      <w:startOverride w:val="5"/>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0243B"/>
    <w:rsid w:val="00037DF4"/>
    <w:rsid w:val="00042EC9"/>
    <w:rsid w:val="0004700E"/>
    <w:rsid w:val="00070C13"/>
    <w:rsid w:val="00084F33"/>
    <w:rsid w:val="000A77A7"/>
    <w:rsid w:val="000B1707"/>
    <w:rsid w:val="000C1B3E"/>
    <w:rsid w:val="000E7E23"/>
    <w:rsid w:val="00125E3C"/>
    <w:rsid w:val="00177F4D"/>
    <w:rsid w:val="00180DDA"/>
    <w:rsid w:val="00193F0A"/>
    <w:rsid w:val="001B00F2"/>
    <w:rsid w:val="001B0966"/>
    <w:rsid w:val="001B2A2D"/>
    <w:rsid w:val="001B5AE3"/>
    <w:rsid w:val="001B737D"/>
    <w:rsid w:val="001C44A3"/>
    <w:rsid w:val="001C696B"/>
    <w:rsid w:val="001E0E15"/>
    <w:rsid w:val="001E4289"/>
    <w:rsid w:val="001F528A"/>
    <w:rsid w:val="001F704E"/>
    <w:rsid w:val="00210AAE"/>
    <w:rsid w:val="002125B0"/>
    <w:rsid w:val="00243228"/>
    <w:rsid w:val="00243F3C"/>
    <w:rsid w:val="00251483"/>
    <w:rsid w:val="00255CAA"/>
    <w:rsid w:val="00264305"/>
    <w:rsid w:val="00281AFC"/>
    <w:rsid w:val="002A0346"/>
    <w:rsid w:val="002A4487"/>
    <w:rsid w:val="002A4A47"/>
    <w:rsid w:val="002B49E9"/>
    <w:rsid w:val="002C0859"/>
    <w:rsid w:val="002D3E8B"/>
    <w:rsid w:val="002D4575"/>
    <w:rsid w:val="002D5C0C"/>
    <w:rsid w:val="002E03D1"/>
    <w:rsid w:val="002E6B74"/>
    <w:rsid w:val="002E6FCA"/>
    <w:rsid w:val="002F1E71"/>
    <w:rsid w:val="00305159"/>
    <w:rsid w:val="003073E7"/>
    <w:rsid w:val="00320ECF"/>
    <w:rsid w:val="0032502D"/>
    <w:rsid w:val="003278AC"/>
    <w:rsid w:val="00354B77"/>
    <w:rsid w:val="00356CD0"/>
    <w:rsid w:val="0035725C"/>
    <w:rsid w:val="003610D8"/>
    <w:rsid w:val="00362CD9"/>
    <w:rsid w:val="00367FBE"/>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C68B6"/>
    <w:rsid w:val="004D1D85"/>
    <w:rsid w:val="004D3C3A"/>
    <w:rsid w:val="004E1CD1"/>
    <w:rsid w:val="0050250E"/>
    <w:rsid w:val="005107EB"/>
    <w:rsid w:val="00517ACA"/>
    <w:rsid w:val="00521345"/>
    <w:rsid w:val="005234C3"/>
    <w:rsid w:val="00526DF0"/>
    <w:rsid w:val="00533792"/>
    <w:rsid w:val="00541134"/>
    <w:rsid w:val="00545077"/>
    <w:rsid w:val="00545CC4"/>
    <w:rsid w:val="00551FFF"/>
    <w:rsid w:val="005607A2"/>
    <w:rsid w:val="00562F2D"/>
    <w:rsid w:val="0057198B"/>
    <w:rsid w:val="005745A8"/>
    <w:rsid w:val="00584644"/>
    <w:rsid w:val="0059594F"/>
    <w:rsid w:val="00597FAE"/>
    <w:rsid w:val="005B32A3"/>
    <w:rsid w:val="005C0D44"/>
    <w:rsid w:val="005C0F41"/>
    <w:rsid w:val="005C205B"/>
    <w:rsid w:val="005C566C"/>
    <w:rsid w:val="005C7E69"/>
    <w:rsid w:val="005E1DE4"/>
    <w:rsid w:val="005E262D"/>
    <w:rsid w:val="005F23D3"/>
    <w:rsid w:val="005F7A87"/>
    <w:rsid w:val="005F7E20"/>
    <w:rsid w:val="00627103"/>
    <w:rsid w:val="006406AE"/>
    <w:rsid w:val="00646527"/>
    <w:rsid w:val="00663870"/>
    <w:rsid w:val="006652C3"/>
    <w:rsid w:val="00686210"/>
    <w:rsid w:val="00691FD0"/>
    <w:rsid w:val="00692148"/>
    <w:rsid w:val="006A588E"/>
    <w:rsid w:val="006A7B4E"/>
    <w:rsid w:val="006B0BAB"/>
    <w:rsid w:val="006C5948"/>
    <w:rsid w:val="006F1D5D"/>
    <w:rsid w:val="006F2A74"/>
    <w:rsid w:val="007118F5"/>
    <w:rsid w:val="007121C2"/>
    <w:rsid w:val="00712AA4"/>
    <w:rsid w:val="00721AA1"/>
    <w:rsid w:val="00724B67"/>
    <w:rsid w:val="007267B1"/>
    <w:rsid w:val="007330D1"/>
    <w:rsid w:val="00752449"/>
    <w:rsid w:val="007547F8"/>
    <w:rsid w:val="00765622"/>
    <w:rsid w:val="00770B6C"/>
    <w:rsid w:val="00780150"/>
    <w:rsid w:val="00783FEA"/>
    <w:rsid w:val="007C0929"/>
    <w:rsid w:val="007E28B4"/>
    <w:rsid w:val="007F0A82"/>
    <w:rsid w:val="0080294B"/>
    <w:rsid w:val="0082480E"/>
    <w:rsid w:val="00850293"/>
    <w:rsid w:val="00851373"/>
    <w:rsid w:val="00851BA6"/>
    <w:rsid w:val="0085654D"/>
    <w:rsid w:val="00861160"/>
    <w:rsid w:val="0086654F"/>
    <w:rsid w:val="008900E5"/>
    <w:rsid w:val="008A356F"/>
    <w:rsid w:val="008A4653"/>
    <w:rsid w:val="008A4717"/>
    <w:rsid w:val="008A50CC"/>
    <w:rsid w:val="008B4A15"/>
    <w:rsid w:val="008C0B3B"/>
    <w:rsid w:val="008D1694"/>
    <w:rsid w:val="008D6D87"/>
    <w:rsid w:val="008D79CB"/>
    <w:rsid w:val="008E0B9C"/>
    <w:rsid w:val="008F07BC"/>
    <w:rsid w:val="008F5293"/>
    <w:rsid w:val="0090240D"/>
    <w:rsid w:val="0092692B"/>
    <w:rsid w:val="00931246"/>
    <w:rsid w:val="00943E9C"/>
    <w:rsid w:val="00945815"/>
    <w:rsid w:val="0094737B"/>
    <w:rsid w:val="00953F4D"/>
    <w:rsid w:val="00960BB8"/>
    <w:rsid w:val="00964F5C"/>
    <w:rsid w:val="00974D42"/>
    <w:rsid w:val="009831C0"/>
    <w:rsid w:val="009919BB"/>
    <w:rsid w:val="009B2B67"/>
    <w:rsid w:val="009E2C96"/>
    <w:rsid w:val="009E4E5A"/>
    <w:rsid w:val="00A0389B"/>
    <w:rsid w:val="00A1659C"/>
    <w:rsid w:val="00A32E0E"/>
    <w:rsid w:val="00A446C9"/>
    <w:rsid w:val="00A46D45"/>
    <w:rsid w:val="00A57655"/>
    <w:rsid w:val="00A635D6"/>
    <w:rsid w:val="00A777BC"/>
    <w:rsid w:val="00A8553A"/>
    <w:rsid w:val="00A93AED"/>
    <w:rsid w:val="00AD0F23"/>
    <w:rsid w:val="00B226F2"/>
    <w:rsid w:val="00B274DF"/>
    <w:rsid w:val="00B56BDF"/>
    <w:rsid w:val="00B65812"/>
    <w:rsid w:val="00B83FE3"/>
    <w:rsid w:val="00B85CD6"/>
    <w:rsid w:val="00B90A27"/>
    <w:rsid w:val="00B9554D"/>
    <w:rsid w:val="00BB0855"/>
    <w:rsid w:val="00BB2B9F"/>
    <w:rsid w:val="00BB3928"/>
    <w:rsid w:val="00BB5D0B"/>
    <w:rsid w:val="00BB7D9E"/>
    <w:rsid w:val="00BD1139"/>
    <w:rsid w:val="00BD3CB8"/>
    <w:rsid w:val="00BD4E6F"/>
    <w:rsid w:val="00BE598B"/>
    <w:rsid w:val="00BF32F0"/>
    <w:rsid w:val="00BF4DCE"/>
    <w:rsid w:val="00C0399B"/>
    <w:rsid w:val="00C05418"/>
    <w:rsid w:val="00C05CE5"/>
    <w:rsid w:val="00C07A56"/>
    <w:rsid w:val="00C106F7"/>
    <w:rsid w:val="00C10C1C"/>
    <w:rsid w:val="00C14F45"/>
    <w:rsid w:val="00C15BFA"/>
    <w:rsid w:val="00C44E99"/>
    <w:rsid w:val="00C57FFA"/>
    <w:rsid w:val="00C6171E"/>
    <w:rsid w:val="00C72638"/>
    <w:rsid w:val="00CA6F2C"/>
    <w:rsid w:val="00CB4F36"/>
    <w:rsid w:val="00CC2D29"/>
    <w:rsid w:val="00CD1398"/>
    <w:rsid w:val="00CD5666"/>
    <w:rsid w:val="00CD6CFC"/>
    <w:rsid w:val="00CF1871"/>
    <w:rsid w:val="00D1133E"/>
    <w:rsid w:val="00D17A34"/>
    <w:rsid w:val="00D23FC7"/>
    <w:rsid w:val="00D25E20"/>
    <w:rsid w:val="00D26628"/>
    <w:rsid w:val="00D332B3"/>
    <w:rsid w:val="00D55207"/>
    <w:rsid w:val="00D563BC"/>
    <w:rsid w:val="00D82F73"/>
    <w:rsid w:val="00D92B45"/>
    <w:rsid w:val="00D95962"/>
    <w:rsid w:val="00D96022"/>
    <w:rsid w:val="00DA7FAE"/>
    <w:rsid w:val="00DB01F7"/>
    <w:rsid w:val="00DC00C2"/>
    <w:rsid w:val="00DC225E"/>
    <w:rsid w:val="00DC389B"/>
    <w:rsid w:val="00DE1491"/>
    <w:rsid w:val="00DE2FEE"/>
    <w:rsid w:val="00DF094C"/>
    <w:rsid w:val="00E00BE9"/>
    <w:rsid w:val="00E11B8C"/>
    <w:rsid w:val="00E150D7"/>
    <w:rsid w:val="00E22A11"/>
    <w:rsid w:val="00E2597E"/>
    <w:rsid w:val="00E31E5C"/>
    <w:rsid w:val="00E558C3"/>
    <w:rsid w:val="00E55927"/>
    <w:rsid w:val="00E56D1B"/>
    <w:rsid w:val="00E912A6"/>
    <w:rsid w:val="00EA4844"/>
    <w:rsid w:val="00EA4D9C"/>
    <w:rsid w:val="00EA5A97"/>
    <w:rsid w:val="00EB6E02"/>
    <w:rsid w:val="00EB75EE"/>
    <w:rsid w:val="00EC5E7D"/>
    <w:rsid w:val="00ED0385"/>
    <w:rsid w:val="00EE4C1D"/>
    <w:rsid w:val="00EF3685"/>
    <w:rsid w:val="00F159EB"/>
    <w:rsid w:val="00F25BF4"/>
    <w:rsid w:val="00F267DB"/>
    <w:rsid w:val="00F2796C"/>
    <w:rsid w:val="00F35CB6"/>
    <w:rsid w:val="00F40B22"/>
    <w:rsid w:val="00F46F6F"/>
    <w:rsid w:val="00F60608"/>
    <w:rsid w:val="00F62217"/>
    <w:rsid w:val="00F622FF"/>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1E073C"/>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0"/>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0"/>
      </w:numPr>
      <w:spacing w:before="120" w:after="120"/>
      <w:outlineLvl w:val="1"/>
    </w:pPr>
    <w:rPr>
      <w:b/>
    </w:rPr>
  </w:style>
  <w:style w:type="paragraph" w:styleId="Heading3">
    <w:name w:val="heading 3"/>
    <w:basedOn w:val="Normal"/>
    <w:next w:val="BodyText"/>
    <w:link w:val="Heading3Char"/>
    <w:qFormat/>
    <w:rsid w:val="00D332B3"/>
    <w:pPr>
      <w:keepNext/>
      <w:numPr>
        <w:ilvl w:val="2"/>
        <w:numId w:val="10"/>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0"/>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13"/>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 w:type="character" w:customStyle="1" w:styleId="tlid-translation">
    <w:name w:val="tlid-translation"/>
    <w:basedOn w:val="DefaultParagraphFont"/>
    <w:rsid w:val="00361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558576">
      <w:bodyDiv w:val="1"/>
      <w:marLeft w:val="0"/>
      <w:marRight w:val="0"/>
      <w:marTop w:val="0"/>
      <w:marBottom w:val="0"/>
      <w:divBdr>
        <w:top w:val="none" w:sz="0" w:space="0" w:color="auto"/>
        <w:left w:val="none" w:sz="0" w:space="0" w:color="auto"/>
        <w:bottom w:val="none" w:sz="0" w:space="0" w:color="auto"/>
        <w:right w:val="none" w:sz="0" w:space="0" w:color="auto"/>
      </w:divBdr>
    </w:div>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1802">
      <w:bodyDiv w:val="1"/>
      <w:marLeft w:val="0"/>
      <w:marRight w:val="0"/>
      <w:marTop w:val="0"/>
      <w:marBottom w:val="0"/>
      <w:divBdr>
        <w:top w:val="none" w:sz="0" w:space="0" w:color="auto"/>
        <w:left w:val="none" w:sz="0" w:space="0" w:color="auto"/>
        <w:bottom w:val="none" w:sz="0" w:space="0" w:color="auto"/>
        <w:right w:val="none" w:sz="0" w:space="0" w:color="auto"/>
      </w:divBdr>
    </w:div>
    <w:div w:id="1056472599">
      <w:bodyDiv w:val="1"/>
      <w:marLeft w:val="0"/>
      <w:marRight w:val="0"/>
      <w:marTop w:val="0"/>
      <w:marBottom w:val="0"/>
      <w:divBdr>
        <w:top w:val="none" w:sz="0" w:space="0" w:color="auto"/>
        <w:left w:val="none" w:sz="0" w:space="0" w:color="auto"/>
        <w:bottom w:val="none" w:sz="0" w:space="0" w:color="auto"/>
        <w:right w:val="none" w:sz="0" w:space="0" w:color="auto"/>
      </w:divBdr>
    </w:div>
    <w:div w:id="181980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ritage.iala-aism.org/nominate-a-lighthous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ritage.iala-aism.org/heritage-lighthouse-of-the-yea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heritage.iala-aism.org/heritage-docum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ritage.iala-aism.org/" TargetMode="External"/><Relationship Id="rId5" Type="http://schemas.openxmlformats.org/officeDocument/2006/relationships/numbering" Target="numbering.xml"/><Relationship Id="rId15" Type="http://schemas.openxmlformats.org/officeDocument/2006/relationships/hyperlink" Target="https://heritage.iala-aism.org/iala-heritage-foru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ritage.iala-aism.org/lighthous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2.xml><?xml version="1.0" encoding="utf-8"?>
<ds:datastoreItem xmlns:ds="http://schemas.openxmlformats.org/officeDocument/2006/customXml" ds:itemID="{BC55372E-1BDB-4ABE-8386-B5D0D0E71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FCCC8A-5AFD-408A-88F6-F4263C718213}">
  <ds:schemaRefs>
    <ds:schemaRef ds:uri="http://schemas.openxmlformats.org/officeDocument/2006/bibliography"/>
  </ds:schemaRefs>
</ds:datastoreItem>
</file>

<file path=customXml/itemProps4.xml><?xml version="1.0" encoding="utf-8"?>
<ds:datastoreItem xmlns:ds="http://schemas.openxmlformats.org/officeDocument/2006/customXml" ds:itemID="{6EC9CCF6-B3A5-4E39-A216-EF662F28A7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741</Words>
  <Characters>4229</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3</cp:revision>
  <cp:lastPrinted>2021-03-22T09:56:00Z</cp:lastPrinted>
  <dcterms:created xsi:type="dcterms:W3CDTF">2022-01-24T15:06:00Z</dcterms:created>
  <dcterms:modified xsi:type="dcterms:W3CDTF">2022-01-25T08:54:00Z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